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2" w:rsidRPr="008C2F12" w:rsidRDefault="008C2F12" w:rsidP="008C2F12">
      <w:pPr>
        <w:shd w:val="clear" w:color="auto" w:fill="006C87"/>
        <w:spacing w:line="240" w:lineRule="auto"/>
        <w:jc w:val="both"/>
        <w:rPr>
          <w:rFonts w:ascii="Verdana" w:eastAsia="Times New Roman" w:hAnsi="Verdana" w:cs="Times New Roman"/>
          <w:color w:val="FFFFFF"/>
          <w:sz w:val="18"/>
          <w:szCs w:val="18"/>
          <w:lang w:eastAsia="es-AR"/>
        </w:rPr>
      </w:pPr>
    </w:p>
    <w:p w:rsidR="008C2F12" w:rsidRPr="008C2F12" w:rsidRDefault="008C2F12" w:rsidP="008C2F12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8C2F12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COMISIÓN NACIONAL DE VALORES</w:t>
      </w:r>
      <w:r w:rsidRPr="008C2F12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br/>
        <w:t>Resolución General 721-E/2018</w:t>
      </w:r>
      <w:r w:rsidRPr="008C2F12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br/>
        <w:t>Elaboración Participativa de Normas.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Ciudad de Buenos Aires, 08/02/2018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VISTO el Expediente Nº 249/2018 caratulado “PROYECTO DE RG S/ RÉGIMEN DE EMISOR FRECUENTE”, lo dictaminado por la Gerencia de Emisoras y la Subgerencia de Normativa, y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CONSIDERANDO: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el artículo 1° de la Ley N° 26.831 establece: “La presente Ley tiene por objeto la regulación de los sujetos y valores negociables comprendidos dentro del mercado de capitales, sujeto a la reglamentación y control de la Comisión Nacional de Valores…”.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el artículo 19 inciso h) de la Ley Nº 26.831 otorga a la COMISIÓN NACIONAL DE VALORES atribuciones para dictar las reglamentaciones que se deberán cumplir para la autorización de los valores negociables, instrumentos y operaciones del mercado de capitales, y hasta su baja del registro, contando con facultades para establecer las disposiciones que fueren necesarias para complementar las que surgen de las diferentes leyes y decretos aplicables a éstos, así como resolver casos no previstos e interpretar las normas allí incluidas dentro del contexto económico imperante, para el desarrollo del mercado de capitales.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dentro de los objetivos estratégicos de la COMISIÓN se destacan como relevantes: difundir el mercado de capitales en todo el ámbito de la República Argentina, establecer regulaciones y acciones para la protección del inversor, fomentar el desarrollo económico a través de la profundización del mercado de capitales, asegurar que el mercado de capitales se desarrolle en forma sana, segura, transparente y competitiva, garantizando la eficiente asignación del ahorro hacia la inversión, desarrollar medidas para que las operaciones se desarrollen en un marco de integridad, responsabilidad y ética, y establecer herramientas necesarias para que los inversores cuenten con información plena, completa y necesaria para la toma de decisiones de inversión.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persiguiendo los objetivos enunciados y habiéndose realizado un análisis comparado con la legislación de otros países, se recepta la experiencia positiva observada en relación a la figura del “Emisor Frecuente” (EF).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en tal sentido, se advierte que la inclusión de la figura del “Emisor Frecuente” en el Mercado de Capitales contribuirá a simplificar los procesos de autorizaciones de oferta pública de quienes sean reconocidos como tales para que puedan aprovechar las oportunidades y ventajas que se generan en los momentos más favorables del mercado.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 xml:space="preserve">Que en consonancia con ello, se torna necesario repensar las exigencias y mecanismos para la gestión de los diversos trámites a cargo del Organismo, razón por la cual, se realizó una revisión integral de la normativa aplicable a los trámites de autorización de oferta pública de valores negociables Capítulo V - Oferta Pública Primaria- y Capítulo IX -Prospecto- del Título II de las NORMAS (N.T. 2013 y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mod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.), propiciándose la modificación de todo lo referente al régimen de autorización de oferta pública aplicable a las emisoras así como la modificación del modelo de Prospecto y la incorporación de un modelo de Suplemento de Prospecto.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la modificación propuesta persigue la finalidad de agilizar la tramitación y generar procesos de control y uso de recursos más eficientes, facilitando el análisis de la información brindada al inversor y favoreciendo el desarrollo del mercado de capitales.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 xml:space="preserve">Que atendiendo a las circunstancias descriptas y como continuidad de la política adoptada por la COMISIÓN en materia reglamentaria, corresponde la aplicación del procedimiento de 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lastRenderedPageBreak/>
        <w:t>“Elaboración Participativa de Normas” aprobado por el Decreto N° 1172/2003.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conforme lo determina el referido Decreto, la “Elaboración Participativa de Normas” es un procedimiento que, a través de consultas no vinculantes, involucra a sectores interesados y a la ciudadanía en general en la elaboración de normas administrativas y de proyectos de ley para ser elevados por el Poder Ejecutivo Nacional al Honorable Congreso de la Nación, cuando las características del caso -respecto de su viabilidad y oportunidad- así lo impongan.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Que la presente se dicta en ejercicio de las atribuciones conferidas por el artículo 19 inciso h) de la Ley N° 26.831 y por el Decreto Nº 1172/2003.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Por ello,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LA COMISIÓN NACIONAL DE VALORES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RESUELVE: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1°.- Establecer la aplicación del procedimiento de “Elaboración Participativa de Normas” aprobado por el Decreto N° 1172/2003, invitando a la ciudadanía a expresar sus opiniones y/o propuestas respecto de la adopción de una reglamentación sobre la figura del “Emisor Frecuente” tomando en consideración el texto contenido en el Anexo I (IF-2018-06468595-APN-GAL#CNV) que forma parte integrante de la presente Resolución.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2°.- Designar a la Dra. Sonia Soledad JAIMEZ para dirigir el procedimiento de “Elaboración Participativa de Normas” conforme Decreto N° 1172/2003.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3°.- Autorizar a ingresar las opiniones y/o propuestas y a tomar vista del Expediente N° 249/2018 a través del sitio web www.cnv.gob.ar.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4°.- Aprobar el Formulario modelo para ingresar las opiniones y/o propuestas a través del sitio web www.cnv.gob.ar, contenido en el Anexo II (IF-2018-06469679-APN-GAL#CNV) que forma parte integrante de la presente Resolución.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5°.- Fijar un plazo de QUINCE (15) días hábiles para realizar la presentación de opiniones y/o propuestas, las que deberán efectuarse a través del sitio web www.cnv.gob.ar.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ARTÍCULO 6°.- Publíquese la presente Resolución General por el término de DOS (2) días en el Boletín Oficial de la República Argentina cuya entrada en vigencia será a partir del día siguiente al de su última publicación.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 xml:space="preserve">ARTÍCULO 7°.- Regístrese, publíquese, comuníquese, dese a la Dirección Nacional del Registro Oficial, incorpórese en el sitio web del Organismo www.cnv.gob.ar, y archívese. —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Rocio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 xml:space="preserve">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Balestra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 xml:space="preserve">, Directora. — Marcos Martin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Ayerra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 xml:space="preserve">, Presidente. — Patricia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Noemi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 xml:space="preserve"> 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Boedo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 xml:space="preserve">, </w:t>
      </w:r>
      <w:bookmarkStart w:id="0" w:name="_GoBack"/>
      <w:bookmarkEnd w:id="0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Vicepresidente.</w: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  <w:t>NOTA: El/los Anexo/s que integra/n este(a) Resolución General se publican en la edición web del BORA -www.boletinoficial.gob.ar-.</w:t>
      </w:r>
    </w:p>
    <w:p w:rsidR="008C2F12" w:rsidRPr="008C2F12" w:rsidRDefault="008C2F12" w:rsidP="008C2F1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t>e. 14/02/2018 N° 7807/18 v. 15/02/2018</w:t>
      </w:r>
    </w:p>
    <w:p w:rsidR="008C2F12" w:rsidRPr="008C2F12" w:rsidRDefault="008C2F12" w:rsidP="008C2F1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br/>
      </w:r>
      <w:r w:rsidRPr="008C2F12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(</w:t>
      </w:r>
      <w:r w:rsidRPr="008C2F1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B3D9E2"/>
          <w:lang w:eastAsia="es-AR"/>
        </w:rPr>
        <w:t xml:space="preserve">Nota </w:t>
      </w:r>
      <w:proofErr w:type="spellStart"/>
      <w:r w:rsidRPr="008C2F1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B3D9E2"/>
          <w:lang w:eastAsia="es-AR"/>
        </w:rPr>
        <w:t>Infoleg</w:t>
      </w:r>
      <w:proofErr w:type="spellEnd"/>
      <w:r w:rsidRPr="008C2F1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B3D9E2"/>
          <w:lang w:eastAsia="es-AR"/>
        </w:rPr>
        <w:t>:</w:t>
      </w:r>
      <w:r w:rsidRPr="008C2F12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 Los anexos referenciados en la presente norma han sido extraídos de la edición web de Boletín Oficial. Los mismos pueden consultarse en el siguiente link: 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begin"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instrText xml:space="preserve"> HYPERLINK "http://servicios.infoleg.gob.ar/infolegInternet/anexos/305000-309999/306804/res721-I.pdf" </w:instrTex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separate"/>
      </w:r>
      <w:r w:rsidRPr="008C2F12">
        <w:rPr>
          <w:rFonts w:ascii="Verdana" w:eastAsia="Times New Roman" w:hAnsi="Verdana" w:cs="Times New Roman"/>
          <w:i/>
          <w:iCs/>
          <w:color w:val="0000FF"/>
          <w:sz w:val="18"/>
          <w:szCs w:val="18"/>
          <w:u w:val="single"/>
          <w:shd w:val="clear" w:color="auto" w:fill="B3D9E2"/>
          <w:lang w:eastAsia="es-AR"/>
        </w:rPr>
        <w:t>AnexoI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end"/>
      </w:r>
      <w:r w:rsidRPr="008C2F12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, </w:t>
      </w:r>
      <w:proofErr w:type="spellStart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begin"/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instrText xml:space="preserve"> HYPERLINK "http://servicios.infoleg.gob.ar/infolegInternet/anexos/305000-309999/306804/res721-II.pdf" </w:instrText>
      </w:r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separate"/>
      </w:r>
      <w:r w:rsidRPr="008C2F12">
        <w:rPr>
          <w:rFonts w:ascii="Verdana" w:eastAsia="Times New Roman" w:hAnsi="Verdana" w:cs="Times New Roman"/>
          <w:i/>
          <w:iCs/>
          <w:color w:val="0000FF"/>
          <w:sz w:val="18"/>
          <w:szCs w:val="18"/>
          <w:u w:val="single"/>
          <w:shd w:val="clear" w:color="auto" w:fill="B3D9E2"/>
          <w:lang w:eastAsia="es-AR"/>
        </w:rPr>
        <w:t>AnexoII</w:t>
      </w:r>
      <w:proofErr w:type="spellEnd"/>
      <w:r w:rsidRPr="008C2F12">
        <w:rPr>
          <w:rFonts w:ascii="Verdana" w:eastAsia="Times New Roman" w:hAnsi="Verdana" w:cs="Times New Roman"/>
          <w:sz w:val="18"/>
          <w:szCs w:val="18"/>
          <w:lang w:eastAsia="es-AR"/>
        </w:rPr>
        <w:fldChar w:fldCharType="end"/>
      </w:r>
      <w:r w:rsidRPr="008C2F12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B3D9E2"/>
          <w:lang w:eastAsia="es-AR"/>
        </w:rPr>
        <w:t>)</w:t>
      </w:r>
    </w:p>
    <w:p w:rsidR="00D27937" w:rsidRDefault="008C2F12" w:rsidP="008C2F12"/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2"/>
    <w:rsid w:val="00797D1F"/>
    <w:rsid w:val="008C2F12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2018-02-15T16:09:00Z</dcterms:created>
  <dcterms:modified xsi:type="dcterms:W3CDTF">2018-02-15T16:12:00Z</dcterms:modified>
</cp:coreProperties>
</file>