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138"/>
      </w:tblGrid>
      <w:tr w:rsidR="00CE17F9" w:rsidRPr="00CE17F9" w:rsidTr="00CE17F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E17F9" w:rsidRPr="00CE17F9" w:rsidRDefault="00CE17F9" w:rsidP="00CE17F9">
            <w:pPr>
              <w:spacing w:after="240" w:line="240" w:lineRule="auto"/>
              <w:jc w:val="right"/>
              <w:rPr>
                <w:rFonts w:ascii="Lucida Sans Unicode" w:eastAsia="Times New Roman" w:hAnsi="Lucida Sans Unicode" w:cs="Lucida Sans Unicode"/>
                <w:color w:val="FF8A00"/>
                <w:sz w:val="15"/>
                <w:szCs w:val="15"/>
                <w:lang w:eastAsia="es-AR"/>
              </w:rPr>
            </w:pPr>
            <w:r w:rsidRPr="00CE17F9">
              <w:rPr>
                <w:rFonts w:ascii="Lucida Sans Unicode" w:eastAsia="Times New Roman" w:hAnsi="Lucida Sans Unicode" w:cs="Lucida Sans Unicode"/>
                <w:b/>
                <w:bCs/>
                <w:color w:val="FF8A00"/>
                <w:sz w:val="15"/>
                <w:szCs w:val="15"/>
                <w:lang w:eastAsia="es-AR"/>
              </w:rPr>
              <w:t>16-FEB-2018</w:t>
            </w:r>
            <w:r w:rsidRPr="00CE17F9">
              <w:rPr>
                <w:rFonts w:ascii="Lucida Sans Unicode" w:eastAsia="Times New Roman" w:hAnsi="Lucida Sans Unicode" w:cs="Lucida Sans Unicode"/>
                <w:color w:val="FF8A00"/>
                <w:sz w:val="15"/>
                <w:szCs w:val="15"/>
                <w:lang w:eastAsia="es-AR"/>
              </w:rPr>
              <w:br/>
              <w:t>Por AFIP </w:t>
            </w:r>
          </w:p>
        </w:tc>
      </w:tr>
      <w:tr w:rsidR="00CE17F9" w:rsidRPr="00CE17F9" w:rsidTr="00CE17F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E17F9" w:rsidRPr="00CE17F9" w:rsidRDefault="00CE17F9" w:rsidP="00CE17F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85858"/>
                <w:sz w:val="18"/>
                <w:szCs w:val="18"/>
                <w:lang w:eastAsia="es-AR"/>
              </w:rPr>
            </w:pPr>
            <w:r w:rsidRPr="00CE17F9">
              <w:rPr>
                <w:rFonts w:ascii="Lucida Sans Unicode" w:eastAsia="Times New Roman" w:hAnsi="Lucida Sans Unicode" w:cs="Lucida Sans Unicode"/>
                <w:b/>
                <w:bCs/>
                <w:color w:val="585858"/>
                <w:sz w:val="18"/>
                <w:szCs w:val="18"/>
                <w:lang w:eastAsia="es-AR"/>
              </w:rPr>
              <w:t>Temas:</w:t>
            </w:r>
            <w:r w:rsidRPr="00CE17F9">
              <w:rPr>
                <w:rFonts w:ascii="Lucida Sans Unicode" w:eastAsia="Times New Roman" w:hAnsi="Lucida Sans Unicode" w:cs="Lucida Sans Unicode"/>
                <w:color w:val="585858"/>
                <w:sz w:val="18"/>
                <w:szCs w:val="18"/>
                <w:lang w:eastAsia="es-AR"/>
              </w:rPr>
              <w:t> </w:t>
            </w:r>
            <w:hyperlink r:id="rId5" w:history="1">
              <w:r w:rsidRPr="00CE17F9">
                <w:rPr>
                  <w:rFonts w:ascii="Lucida Sans Unicode" w:eastAsia="Times New Roman" w:hAnsi="Lucida Sans Unicode" w:cs="Lucida Sans Unicode"/>
                  <w:color w:val="0000EE"/>
                  <w:sz w:val="18"/>
                  <w:szCs w:val="18"/>
                  <w:lang w:eastAsia="es-AR"/>
                </w:rPr>
                <w:t>APLICATIVOS Y SISTEMAS AFIP</w:t>
              </w:r>
            </w:hyperlink>
            <w:r w:rsidRPr="00CE17F9">
              <w:rPr>
                <w:rFonts w:ascii="Lucida Sans Unicode" w:eastAsia="Times New Roman" w:hAnsi="Lucida Sans Unicode" w:cs="Lucida Sans Unicode"/>
                <w:color w:val="585858"/>
                <w:sz w:val="18"/>
                <w:szCs w:val="18"/>
                <w:lang w:eastAsia="es-AR"/>
              </w:rPr>
              <w:t>   </w:t>
            </w:r>
            <w:hyperlink r:id="rId6" w:history="1">
              <w:r w:rsidRPr="00CE17F9">
                <w:rPr>
                  <w:rFonts w:ascii="Lucida Sans Unicode" w:eastAsia="Times New Roman" w:hAnsi="Lucida Sans Unicode" w:cs="Lucida Sans Unicode"/>
                  <w:color w:val="0000EE"/>
                  <w:sz w:val="18"/>
                  <w:szCs w:val="18"/>
                  <w:lang w:eastAsia="es-AR"/>
                </w:rPr>
                <w:t>BLANQUEO DE CAPITALES</w:t>
              </w:r>
            </w:hyperlink>
          </w:p>
        </w:tc>
      </w:tr>
      <w:tr w:rsidR="00CE17F9" w:rsidRPr="00CE17F9" w:rsidTr="00CE17F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E17F9" w:rsidRPr="00CE17F9" w:rsidRDefault="00CE17F9" w:rsidP="00CE17F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32"/>
                <w:sz w:val="23"/>
                <w:szCs w:val="23"/>
                <w:lang w:eastAsia="es-AR"/>
              </w:rPr>
            </w:pPr>
            <w:r w:rsidRPr="00CE17F9">
              <w:rPr>
                <w:rFonts w:ascii="Lucida Sans Unicode" w:eastAsia="Times New Roman" w:hAnsi="Lucida Sans Unicode" w:cs="Lucida Sans Unicode"/>
                <w:b/>
                <w:bCs/>
                <w:color w:val="323232"/>
                <w:sz w:val="23"/>
                <w:szCs w:val="23"/>
                <w:lang w:eastAsia="es-AR"/>
              </w:rPr>
              <w:t xml:space="preserve">Ganancias Personas Físicas y Bienes Personales. Personas Humanas. Aplicativo. Versión 18.01. </w:t>
            </w:r>
            <w:proofErr w:type="spellStart"/>
            <w:r w:rsidRPr="00CE17F9">
              <w:rPr>
                <w:rFonts w:ascii="Lucida Sans Unicode" w:eastAsia="Times New Roman" w:hAnsi="Lucida Sans Unicode" w:cs="Lucida Sans Unicode"/>
                <w:b/>
                <w:bCs/>
                <w:color w:val="323232"/>
                <w:sz w:val="23"/>
                <w:szCs w:val="23"/>
                <w:lang w:eastAsia="es-AR"/>
              </w:rPr>
              <w:t>Release</w:t>
            </w:r>
            <w:proofErr w:type="spellEnd"/>
            <w:r w:rsidRPr="00CE17F9">
              <w:rPr>
                <w:rFonts w:ascii="Lucida Sans Unicode" w:eastAsia="Times New Roman" w:hAnsi="Lucida Sans Unicode" w:cs="Lucida Sans Unicode"/>
                <w:b/>
                <w:bCs/>
                <w:color w:val="323232"/>
                <w:sz w:val="23"/>
                <w:szCs w:val="23"/>
                <w:lang w:eastAsia="es-AR"/>
              </w:rPr>
              <w:t xml:space="preserve"> 0</w:t>
            </w:r>
          </w:p>
        </w:tc>
      </w:tr>
      <w:tr w:rsidR="00CE17F9" w:rsidRPr="00CE17F9" w:rsidTr="00CE17F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E17F9" w:rsidRPr="00CE17F9" w:rsidRDefault="00CE17F9" w:rsidP="00CE17F9">
            <w:pPr>
              <w:spacing w:before="100" w:beforeAutospacing="1" w:after="100" w:afterAutospacing="1" w:line="240" w:lineRule="auto"/>
              <w:rPr>
                <w:rFonts w:ascii="Lucida Sans Unicode" w:eastAsia="Times New Roman" w:hAnsi="Lucida Sans Unicode" w:cs="Lucida Sans Unicode"/>
                <w:color w:val="585858"/>
                <w:sz w:val="18"/>
                <w:szCs w:val="18"/>
                <w:lang w:eastAsia="es-AR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color w:val="585858"/>
                <w:sz w:val="18"/>
                <w:szCs w:val="18"/>
                <w:lang w:eastAsia="es-AR"/>
              </w:rPr>
              <w:drawing>
                <wp:anchor distT="0" distB="0" distL="95250" distR="9525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52500" cy="590550"/>
                  <wp:effectExtent l="0" t="0" r="0" b="0"/>
                  <wp:wrapSquare wrapText="bothSides"/>
                  <wp:docPr id="2" name="Imagen 2" descr="http://www.tributum.com.ar/noticias/noticias/imagenes/59605-AFIP_Logo_2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ributum.com.ar/noticias/noticias/imagenes/59605-AFIP_Logo_2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17F9">
              <w:rPr>
                <w:rFonts w:ascii="Lucida Sans Unicode" w:eastAsia="Times New Roman" w:hAnsi="Lucida Sans Unicode" w:cs="Lucida Sans Unicode"/>
                <w:color w:val="585858"/>
                <w:sz w:val="18"/>
                <w:szCs w:val="18"/>
                <w:lang w:eastAsia="es-AR"/>
              </w:rPr>
              <w:t>La AFIP puso a</w:t>
            </w:r>
            <w:r w:rsidRPr="00CE17F9">
              <w:rPr>
                <w:rFonts w:ascii="Lucida Sans Unicode" w:eastAsia="Times New Roman" w:hAnsi="Lucida Sans Unicode" w:cs="Lucida Sans Unicode"/>
                <w:b/>
                <w:bCs/>
                <w:color w:val="585858"/>
                <w:sz w:val="18"/>
                <w:szCs w:val="18"/>
                <w:lang w:eastAsia="es-AR"/>
              </w:rPr>
              <w:t> </w:t>
            </w:r>
            <w:r w:rsidRPr="00CE17F9">
              <w:rPr>
                <w:rFonts w:ascii="Lucida Sans Unicode" w:eastAsia="Times New Roman" w:hAnsi="Lucida Sans Unicode" w:cs="Lucida Sans Unicode"/>
                <w:b/>
                <w:bCs/>
                <w:color w:val="585858"/>
                <w:sz w:val="18"/>
                <w:szCs w:val="18"/>
                <w:u w:val="single"/>
                <w:lang w:eastAsia="es-AR"/>
              </w:rPr>
              <w:t>disposición</w:t>
            </w:r>
            <w:r w:rsidRPr="00CE17F9">
              <w:rPr>
                <w:rFonts w:ascii="Lucida Sans Unicode" w:eastAsia="Times New Roman" w:hAnsi="Lucida Sans Unicode" w:cs="Lucida Sans Unicode"/>
                <w:color w:val="585858"/>
                <w:sz w:val="18"/>
                <w:szCs w:val="18"/>
                <w:lang w:eastAsia="es-AR"/>
              </w:rPr>
              <w:t> la </w:t>
            </w:r>
            <w:r w:rsidRPr="00CE17F9">
              <w:rPr>
                <w:rFonts w:ascii="Lucida Sans Unicode" w:eastAsia="Times New Roman" w:hAnsi="Lucida Sans Unicode" w:cs="Lucida Sans Unicode"/>
                <w:b/>
                <w:bCs/>
                <w:color w:val="585858"/>
                <w:sz w:val="18"/>
                <w:szCs w:val="18"/>
                <w:lang w:eastAsia="es-AR"/>
              </w:rPr>
              <w:t xml:space="preserve">Versión 18.01 </w:t>
            </w:r>
            <w:proofErr w:type="spellStart"/>
            <w:r w:rsidRPr="00CE17F9">
              <w:rPr>
                <w:rFonts w:ascii="Lucida Sans Unicode" w:eastAsia="Times New Roman" w:hAnsi="Lucida Sans Unicode" w:cs="Lucida Sans Unicode"/>
                <w:b/>
                <w:bCs/>
                <w:color w:val="585858"/>
                <w:sz w:val="18"/>
                <w:szCs w:val="18"/>
                <w:lang w:eastAsia="es-AR"/>
              </w:rPr>
              <w:t>release</w:t>
            </w:r>
            <w:proofErr w:type="spellEnd"/>
            <w:r w:rsidRPr="00CE17F9">
              <w:rPr>
                <w:rFonts w:ascii="Lucida Sans Unicode" w:eastAsia="Times New Roman" w:hAnsi="Lucida Sans Unicode" w:cs="Lucida Sans Unicode"/>
                <w:b/>
                <w:bCs/>
                <w:color w:val="585858"/>
                <w:sz w:val="18"/>
                <w:szCs w:val="18"/>
                <w:lang w:eastAsia="es-AR"/>
              </w:rPr>
              <w:t xml:space="preserve"> 0 </w:t>
            </w:r>
            <w:r w:rsidRPr="00CE17F9">
              <w:rPr>
                <w:rFonts w:ascii="Lucida Sans Unicode" w:eastAsia="Times New Roman" w:hAnsi="Lucida Sans Unicode" w:cs="Lucida Sans Unicode"/>
                <w:color w:val="585858"/>
                <w:sz w:val="18"/>
                <w:szCs w:val="18"/>
                <w:lang w:eastAsia="es-AR"/>
              </w:rPr>
              <w:t>del aplicativo para que las </w:t>
            </w:r>
            <w:r w:rsidRPr="00CE17F9">
              <w:rPr>
                <w:rFonts w:ascii="Lucida Sans Unicode" w:eastAsia="Times New Roman" w:hAnsi="Lucida Sans Unicode" w:cs="Lucida Sans Unicode"/>
                <w:b/>
                <w:bCs/>
                <w:color w:val="585858"/>
                <w:sz w:val="18"/>
                <w:szCs w:val="18"/>
                <w:lang w:eastAsia="es-AR"/>
              </w:rPr>
              <w:t>personas físicas</w:t>
            </w:r>
            <w:r w:rsidRPr="00CE17F9">
              <w:rPr>
                <w:rFonts w:ascii="Lucida Sans Unicode" w:eastAsia="Times New Roman" w:hAnsi="Lucida Sans Unicode" w:cs="Lucida Sans Unicode"/>
                <w:color w:val="585858"/>
                <w:sz w:val="18"/>
                <w:szCs w:val="18"/>
                <w:lang w:eastAsia="es-AR"/>
              </w:rPr>
              <w:t>, sucesiones indivisas o responsables por deuda ajena, cumplir con su obligación de </w:t>
            </w:r>
            <w:r w:rsidRPr="00CE17F9">
              <w:rPr>
                <w:rFonts w:ascii="Lucida Sans Unicode" w:eastAsia="Times New Roman" w:hAnsi="Lucida Sans Unicode" w:cs="Lucida Sans Unicode"/>
                <w:b/>
                <w:bCs/>
                <w:color w:val="585858"/>
                <w:sz w:val="18"/>
                <w:szCs w:val="18"/>
                <w:lang w:eastAsia="es-AR"/>
              </w:rPr>
              <w:t xml:space="preserve">presentación de declaración jurada del </w:t>
            </w:r>
            <w:proofErr w:type="spellStart"/>
            <w:r w:rsidRPr="00CE17F9">
              <w:rPr>
                <w:rFonts w:ascii="Lucida Sans Unicode" w:eastAsia="Times New Roman" w:hAnsi="Lucida Sans Unicode" w:cs="Lucida Sans Unicode"/>
                <w:b/>
                <w:bCs/>
                <w:color w:val="585858"/>
                <w:sz w:val="18"/>
                <w:szCs w:val="18"/>
                <w:lang w:eastAsia="es-AR"/>
              </w:rPr>
              <w:t>Impuestoa</w:t>
            </w:r>
            <w:proofErr w:type="spellEnd"/>
            <w:r w:rsidRPr="00CE17F9">
              <w:rPr>
                <w:rFonts w:ascii="Lucida Sans Unicode" w:eastAsia="Times New Roman" w:hAnsi="Lucida Sans Unicode" w:cs="Lucida Sans Unicode"/>
                <w:b/>
                <w:bCs/>
                <w:color w:val="585858"/>
                <w:sz w:val="18"/>
                <w:szCs w:val="18"/>
                <w:lang w:eastAsia="es-AR"/>
              </w:rPr>
              <w:t xml:space="preserve"> las Ganancias y Sobre los Bienes Personales. DDJJ 2017. </w:t>
            </w:r>
            <w:r w:rsidRPr="00CE17F9">
              <w:rPr>
                <w:rFonts w:ascii="Lucida Sans Unicode" w:eastAsia="Times New Roman" w:hAnsi="Lucida Sans Unicode" w:cs="Lucida Sans Unicode"/>
                <w:b/>
                <w:bCs/>
                <w:color w:val="585858"/>
                <w:sz w:val="18"/>
                <w:szCs w:val="18"/>
                <w:u w:val="single"/>
                <w:lang w:eastAsia="es-AR"/>
              </w:rPr>
              <w:t>Novedades</w:t>
            </w:r>
            <w:r w:rsidRPr="00CE17F9">
              <w:rPr>
                <w:rFonts w:ascii="Lucida Sans Unicode" w:eastAsia="Times New Roman" w:hAnsi="Lucida Sans Unicode" w:cs="Lucida Sans Unicode"/>
                <w:b/>
                <w:bCs/>
                <w:color w:val="585858"/>
                <w:sz w:val="18"/>
                <w:szCs w:val="18"/>
                <w:lang w:eastAsia="es-AR"/>
              </w:rPr>
              <w:t>: </w:t>
            </w:r>
          </w:p>
          <w:p w:rsidR="00CE17F9" w:rsidRPr="00CE17F9" w:rsidRDefault="00CE17F9" w:rsidP="00CE17F9">
            <w:pPr>
              <w:spacing w:before="100" w:beforeAutospacing="1" w:after="100" w:afterAutospacing="1" w:line="240" w:lineRule="auto"/>
              <w:rPr>
                <w:rFonts w:ascii="Lucida Sans Unicode" w:eastAsia="Times New Roman" w:hAnsi="Lucida Sans Unicode" w:cs="Lucida Sans Unicode"/>
                <w:color w:val="585858"/>
                <w:sz w:val="18"/>
                <w:szCs w:val="18"/>
                <w:lang w:eastAsia="es-AR"/>
              </w:rPr>
            </w:pPr>
            <w:r w:rsidRPr="00CE17F9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585858"/>
                <w:sz w:val="18"/>
                <w:szCs w:val="18"/>
                <w:u w:val="single"/>
                <w:lang w:eastAsia="es-AR"/>
              </w:rPr>
              <w:t>Incorporación de campos</w:t>
            </w:r>
            <w:r w:rsidRPr="00CE17F9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585858"/>
                <w:sz w:val="18"/>
                <w:szCs w:val="18"/>
                <w:lang w:eastAsia="es-AR"/>
              </w:rPr>
              <w:t>: </w:t>
            </w:r>
            <w:r w:rsidRPr="00CE17F9">
              <w:rPr>
                <w:rFonts w:ascii="Lucida Sans Unicode" w:eastAsia="Times New Roman" w:hAnsi="Lucida Sans Unicode" w:cs="Lucida Sans Unicode"/>
                <w:b/>
                <w:bCs/>
                <w:color w:val="585858"/>
                <w:sz w:val="18"/>
                <w:szCs w:val="18"/>
                <w:lang w:eastAsia="es-AR"/>
              </w:rPr>
              <w:t>1) </w:t>
            </w:r>
            <w:r w:rsidRPr="00CE17F9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585858"/>
                <w:sz w:val="18"/>
                <w:szCs w:val="18"/>
                <w:lang w:eastAsia="es-AR"/>
              </w:rPr>
              <w:t> </w:t>
            </w:r>
            <w:r w:rsidRPr="00CE17F9">
              <w:rPr>
                <w:rFonts w:ascii="Lucida Sans Unicode" w:eastAsia="Times New Roman" w:hAnsi="Lucida Sans Unicode" w:cs="Lucida Sans Unicode"/>
                <w:b/>
                <w:bCs/>
                <w:color w:val="585858"/>
                <w:sz w:val="18"/>
                <w:szCs w:val="18"/>
                <w:lang w:eastAsia="es-AR"/>
              </w:rPr>
              <w:t>Aportes</w:t>
            </w:r>
            <w:r w:rsidRPr="00CE17F9">
              <w:rPr>
                <w:rFonts w:ascii="Lucida Sans Unicode" w:eastAsia="Times New Roman" w:hAnsi="Lucida Sans Unicode" w:cs="Lucida Sans Unicode"/>
                <w:color w:val="585858"/>
                <w:sz w:val="18"/>
                <w:szCs w:val="18"/>
                <w:lang w:eastAsia="es-AR"/>
              </w:rPr>
              <w:t> a Instituciones de Capital Emprendedor (Deducciones Generales) y </w:t>
            </w:r>
            <w:r w:rsidRPr="00CE17F9">
              <w:rPr>
                <w:rFonts w:ascii="Lucida Sans Unicode" w:eastAsia="Times New Roman" w:hAnsi="Lucida Sans Unicode" w:cs="Lucida Sans Unicode"/>
                <w:b/>
                <w:bCs/>
                <w:color w:val="585858"/>
                <w:sz w:val="18"/>
                <w:szCs w:val="18"/>
                <w:lang w:eastAsia="es-AR"/>
              </w:rPr>
              <w:t>2)  Blanqueo de capitales. Ley 27.260.</w:t>
            </w:r>
            <w:r w:rsidRPr="00CE17F9">
              <w:rPr>
                <w:rFonts w:ascii="Lucida Sans Unicode" w:eastAsia="Times New Roman" w:hAnsi="Lucida Sans Unicode" w:cs="Lucida Sans Unicode"/>
                <w:color w:val="585858"/>
                <w:sz w:val="18"/>
                <w:szCs w:val="18"/>
                <w:lang w:eastAsia="es-AR"/>
              </w:rPr>
              <w:t> Impuesto especial (Variaciones Patrimoniales)</w:t>
            </w:r>
          </w:p>
          <w:p w:rsidR="00CE17F9" w:rsidRPr="00CE17F9" w:rsidRDefault="00CE17F9" w:rsidP="00CE17F9">
            <w:pPr>
              <w:spacing w:before="100" w:beforeAutospacing="1" w:after="100" w:afterAutospacing="1" w:line="240" w:lineRule="auto"/>
              <w:rPr>
                <w:rFonts w:ascii="Lucida Sans Unicode" w:eastAsia="Times New Roman" w:hAnsi="Lucida Sans Unicode" w:cs="Lucida Sans Unicode"/>
                <w:color w:val="585858"/>
                <w:sz w:val="18"/>
                <w:szCs w:val="18"/>
                <w:lang w:eastAsia="es-AR"/>
              </w:rPr>
            </w:pPr>
            <w:r w:rsidRPr="00CE17F9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585858"/>
                <w:sz w:val="18"/>
                <w:szCs w:val="18"/>
                <w:u w:val="single"/>
                <w:lang w:eastAsia="es-AR"/>
              </w:rPr>
              <w:t>Nuevos detalles</w:t>
            </w:r>
            <w:r w:rsidRPr="00CE17F9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585858"/>
                <w:sz w:val="18"/>
                <w:szCs w:val="18"/>
                <w:lang w:eastAsia="es-AR"/>
              </w:rPr>
              <w:t>: </w:t>
            </w:r>
            <w:r w:rsidRPr="00CE17F9">
              <w:rPr>
                <w:rFonts w:ascii="Lucida Sans Unicode" w:eastAsia="Times New Roman" w:hAnsi="Lucida Sans Unicode" w:cs="Lucida Sans Unicode"/>
                <w:color w:val="585858"/>
                <w:sz w:val="18"/>
                <w:szCs w:val="18"/>
                <w:lang w:eastAsia="es-AR"/>
              </w:rPr>
              <w:t>Pago a cuenta fomento a las Inversiones Productivas Pymes. Ley 27.264</w:t>
            </w:r>
          </w:p>
          <w:p w:rsidR="00CE17F9" w:rsidRPr="00CE17F9" w:rsidRDefault="00CE17F9" w:rsidP="00CE17F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85858"/>
                <w:sz w:val="18"/>
                <w:szCs w:val="18"/>
                <w:lang w:eastAsia="es-AR"/>
              </w:rPr>
            </w:pPr>
            <w:r w:rsidRPr="00CE17F9">
              <w:rPr>
                <w:rFonts w:ascii="Lucida Sans Unicode" w:eastAsia="Times New Roman" w:hAnsi="Lucida Sans Unicode" w:cs="Lucida Sans Unicode"/>
                <w:color w:val="585858"/>
                <w:sz w:val="18"/>
                <w:szCs w:val="18"/>
                <w:lang w:eastAsia="es-AR"/>
              </w:rPr>
              <w:br/>
            </w:r>
            <w:r w:rsidRPr="00CE17F9">
              <w:rPr>
                <w:rFonts w:ascii="Lucida Sans Unicode" w:eastAsia="Times New Roman" w:hAnsi="Lucida Sans Unicode" w:cs="Lucida Sans Unicode"/>
                <w:color w:val="585858"/>
                <w:sz w:val="18"/>
                <w:szCs w:val="18"/>
                <w:lang w:eastAsia="es-AR"/>
              </w:rPr>
              <w:br/>
            </w:r>
            <w:r>
              <w:rPr>
                <w:rFonts w:ascii="Lucida Sans Unicode" w:eastAsia="Times New Roman" w:hAnsi="Lucida Sans Unicode" w:cs="Lucida Sans Unicode"/>
                <w:noProof/>
                <w:color w:val="585858"/>
                <w:sz w:val="18"/>
                <w:szCs w:val="18"/>
                <w:lang w:eastAsia="es-AR"/>
              </w:rPr>
              <w:drawing>
                <wp:inline distT="0" distB="0" distL="0" distR="0">
                  <wp:extent cx="9753600" cy="9525"/>
                  <wp:effectExtent l="0" t="0" r="0" b="9525"/>
                  <wp:docPr id="1" name="Imagen 1" descr="http://www.tributum.com.ar/new/images/sepa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ributum.com.ar/new/images/sepa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17F9" w:rsidRPr="00CE17F9" w:rsidTr="00CE17F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E17F9" w:rsidRPr="00CE17F9" w:rsidRDefault="00CE17F9" w:rsidP="00CE17F9">
            <w:pPr>
              <w:spacing w:before="60" w:after="120" w:line="253" w:lineRule="atLeast"/>
              <w:jc w:val="both"/>
              <w:rPr>
                <w:rFonts w:ascii="Calibri" w:eastAsia="Times New Roman" w:hAnsi="Calibri" w:cs="Calibri"/>
                <w:color w:val="585858"/>
                <w:lang w:eastAsia="es-AR"/>
              </w:rPr>
            </w:pPr>
            <w:r w:rsidRPr="00CE17F9">
              <w:rPr>
                <w:rFonts w:ascii="Calibri" w:eastAsia="Times New Roman" w:hAnsi="Calibri" w:cs="Calibri"/>
                <w:b/>
                <w:bCs/>
                <w:color w:val="585858"/>
                <w:sz w:val="24"/>
                <w:szCs w:val="24"/>
                <w:u w:val="single"/>
                <w:lang w:eastAsia="es-AR"/>
              </w:rPr>
              <w:t>Novedades:</w:t>
            </w:r>
          </w:p>
          <w:p w:rsidR="00CE17F9" w:rsidRPr="00CE17F9" w:rsidRDefault="00CE17F9" w:rsidP="00CE17F9">
            <w:pPr>
              <w:spacing w:before="60" w:after="120" w:line="253" w:lineRule="atLeast"/>
              <w:jc w:val="both"/>
              <w:rPr>
                <w:rFonts w:ascii="Calibri" w:eastAsia="Times New Roman" w:hAnsi="Calibri" w:cs="Calibri"/>
                <w:color w:val="585858"/>
                <w:lang w:eastAsia="es-AR"/>
              </w:rPr>
            </w:pPr>
            <w:r w:rsidRPr="00CE17F9">
              <w:rPr>
                <w:rFonts w:ascii="Calibri" w:eastAsia="Times New Roman" w:hAnsi="Calibri" w:cs="Calibri"/>
                <w:color w:val="585858"/>
                <w:sz w:val="24"/>
                <w:szCs w:val="24"/>
                <w:lang w:eastAsia="es-AR"/>
              </w:rPr>
              <w:t xml:space="preserve">- En la Pantalla Determinación del Impuesto, </w:t>
            </w:r>
            <w:proofErr w:type="spellStart"/>
            <w:r w:rsidRPr="00CE17F9">
              <w:rPr>
                <w:rFonts w:ascii="Calibri" w:eastAsia="Times New Roman" w:hAnsi="Calibri" w:cs="Calibri"/>
                <w:color w:val="585858"/>
                <w:sz w:val="24"/>
                <w:szCs w:val="24"/>
                <w:lang w:eastAsia="es-AR"/>
              </w:rPr>
              <w:t>Subpantallas</w:t>
            </w:r>
            <w:proofErr w:type="spellEnd"/>
            <w:r w:rsidRPr="00CE17F9">
              <w:rPr>
                <w:rFonts w:ascii="Calibri" w:eastAsia="Times New Roman" w:hAnsi="Calibri" w:cs="Calibri"/>
                <w:color w:val="585858"/>
                <w:sz w:val="24"/>
                <w:szCs w:val="24"/>
                <w:lang w:eastAsia="es-AR"/>
              </w:rPr>
              <w:t xml:space="preserve"> "Deducciones Generales" tanto para Fuente Argentina como Fuente extranjera se agregó el campo "Aportes a Instituciones de Capital Emprendedor" y el detalle del mismo por período fiscal.</w:t>
            </w:r>
          </w:p>
          <w:p w:rsidR="00CE17F9" w:rsidRPr="00CE17F9" w:rsidRDefault="00CE17F9" w:rsidP="00CE17F9">
            <w:pPr>
              <w:spacing w:before="60" w:after="120" w:line="253" w:lineRule="atLeast"/>
              <w:jc w:val="both"/>
              <w:rPr>
                <w:rFonts w:ascii="Calibri" w:eastAsia="Times New Roman" w:hAnsi="Calibri" w:cs="Calibri"/>
                <w:color w:val="585858"/>
                <w:lang w:eastAsia="es-AR"/>
              </w:rPr>
            </w:pPr>
            <w:r w:rsidRPr="00CE17F9">
              <w:rPr>
                <w:rFonts w:ascii="Calibri" w:eastAsia="Times New Roman" w:hAnsi="Calibri" w:cs="Calibri"/>
                <w:color w:val="585858"/>
                <w:sz w:val="24"/>
                <w:szCs w:val="24"/>
                <w:lang w:eastAsia="es-AR"/>
              </w:rPr>
              <w:t>- En la Pantalla Determinación del Saldo, se abrió el detalle del campo "Pago a cuenta fomento a las Inversiones Productivas Pymes. Ley N° 27.264" de manera tal que permita cargarse el detalle de distintos pagos a cuenta con su período de origen.</w:t>
            </w:r>
          </w:p>
          <w:p w:rsidR="00CE17F9" w:rsidRPr="00CE17F9" w:rsidRDefault="00CE17F9" w:rsidP="00CE17F9">
            <w:pPr>
              <w:spacing w:before="60" w:after="120" w:line="253" w:lineRule="atLeast"/>
              <w:jc w:val="both"/>
              <w:rPr>
                <w:rFonts w:ascii="Calibri" w:eastAsia="Times New Roman" w:hAnsi="Calibri" w:cs="Calibri"/>
                <w:color w:val="585858"/>
                <w:lang w:eastAsia="es-AR"/>
              </w:rPr>
            </w:pPr>
            <w:r w:rsidRPr="00CE17F9">
              <w:rPr>
                <w:rFonts w:ascii="Calibri" w:eastAsia="Times New Roman" w:hAnsi="Calibri" w:cs="Calibri"/>
                <w:color w:val="585858"/>
                <w:sz w:val="24"/>
                <w:szCs w:val="24"/>
                <w:lang w:eastAsia="es-AR"/>
              </w:rPr>
              <w:t xml:space="preserve">- En la Pantalla </w:t>
            </w:r>
            <w:proofErr w:type="spellStart"/>
            <w:r w:rsidRPr="00CE17F9">
              <w:rPr>
                <w:rFonts w:ascii="Calibri" w:eastAsia="Times New Roman" w:hAnsi="Calibri" w:cs="Calibri"/>
                <w:color w:val="585858"/>
                <w:sz w:val="24"/>
                <w:szCs w:val="24"/>
                <w:lang w:eastAsia="es-AR"/>
              </w:rPr>
              <w:t>Justicación</w:t>
            </w:r>
            <w:proofErr w:type="spellEnd"/>
            <w:r w:rsidRPr="00CE17F9">
              <w:rPr>
                <w:rFonts w:ascii="Calibri" w:eastAsia="Times New Roman" w:hAnsi="Calibri" w:cs="Calibri"/>
                <w:color w:val="585858"/>
                <w:sz w:val="24"/>
                <w:szCs w:val="24"/>
                <w:lang w:eastAsia="es-AR"/>
              </w:rPr>
              <w:t xml:space="preserve"> de Variaciones Patrimoniales, </w:t>
            </w:r>
            <w:proofErr w:type="spellStart"/>
            <w:r w:rsidRPr="00CE17F9">
              <w:rPr>
                <w:rFonts w:ascii="Calibri" w:eastAsia="Times New Roman" w:hAnsi="Calibri" w:cs="Calibri"/>
                <w:color w:val="585858"/>
                <w:sz w:val="24"/>
                <w:szCs w:val="24"/>
                <w:lang w:eastAsia="es-AR"/>
              </w:rPr>
              <w:t>Subpantalla</w:t>
            </w:r>
            <w:proofErr w:type="spellEnd"/>
            <w:r w:rsidRPr="00CE17F9">
              <w:rPr>
                <w:rFonts w:ascii="Calibri" w:eastAsia="Times New Roman" w:hAnsi="Calibri" w:cs="Calibri"/>
                <w:color w:val="585858"/>
                <w:sz w:val="24"/>
                <w:szCs w:val="24"/>
                <w:lang w:eastAsia="es-AR"/>
              </w:rPr>
              <w:t xml:space="preserve"> "Otros conceptos que no justifican erogaciones y/o aumentos patrimoniales" se incorporó la siguiente opción: "Ley 27.260 - Impuesto especial.</w:t>
            </w:r>
          </w:p>
          <w:p w:rsidR="00CE17F9" w:rsidRPr="00CE17F9" w:rsidRDefault="00CE17F9" w:rsidP="00CE17F9">
            <w:pPr>
              <w:spacing w:before="60" w:after="120" w:line="253" w:lineRule="atLeast"/>
              <w:jc w:val="both"/>
              <w:rPr>
                <w:rFonts w:ascii="Calibri" w:eastAsia="Times New Roman" w:hAnsi="Calibri" w:cs="Calibri"/>
                <w:color w:val="585858"/>
                <w:lang w:eastAsia="es-AR"/>
              </w:rPr>
            </w:pPr>
            <w:r w:rsidRPr="00CE17F9">
              <w:rPr>
                <w:rFonts w:ascii="Calibri" w:eastAsia="Times New Roman" w:hAnsi="Calibri" w:cs="Calibri"/>
                <w:color w:val="585858"/>
                <w:sz w:val="24"/>
                <w:szCs w:val="24"/>
                <w:lang w:eastAsia="es-AR"/>
              </w:rPr>
              <w:t> </w:t>
            </w:r>
          </w:p>
          <w:p w:rsidR="00CE17F9" w:rsidRPr="00CE17F9" w:rsidRDefault="00CE17F9" w:rsidP="00CE17F9">
            <w:pPr>
              <w:spacing w:before="60" w:after="120" w:line="253" w:lineRule="atLeast"/>
              <w:jc w:val="both"/>
              <w:rPr>
                <w:rFonts w:ascii="Calibri" w:eastAsia="Times New Roman" w:hAnsi="Calibri" w:cs="Calibri"/>
                <w:color w:val="585858"/>
                <w:lang w:eastAsia="es-AR"/>
              </w:rPr>
            </w:pPr>
            <w:r w:rsidRPr="00CE17F9">
              <w:rPr>
                <w:rFonts w:ascii="Calibri" w:eastAsia="Times New Roman" w:hAnsi="Calibri" w:cs="Calibri"/>
                <w:color w:val="585858"/>
                <w:sz w:val="24"/>
                <w:szCs w:val="24"/>
                <w:lang w:eastAsia="es-AR"/>
              </w:rPr>
              <w:t> </w:t>
            </w:r>
          </w:p>
          <w:p w:rsidR="00CE17F9" w:rsidRPr="00CE17F9" w:rsidRDefault="00CE17F9" w:rsidP="00CE17F9">
            <w:pPr>
              <w:spacing w:before="60" w:after="120" w:line="253" w:lineRule="atLeast"/>
              <w:jc w:val="both"/>
              <w:rPr>
                <w:rFonts w:ascii="Calibri" w:eastAsia="Times New Roman" w:hAnsi="Calibri" w:cs="Calibri"/>
                <w:color w:val="585858"/>
                <w:lang w:eastAsia="es-AR"/>
              </w:rPr>
            </w:pPr>
            <w:r w:rsidRPr="00CE17F9">
              <w:rPr>
                <w:rFonts w:ascii="Calibri" w:eastAsia="Times New Roman" w:hAnsi="Calibri" w:cs="Calibri"/>
                <w:i/>
                <w:iCs/>
                <w:color w:val="585858"/>
                <w:sz w:val="24"/>
                <w:szCs w:val="24"/>
                <w:u w:val="single"/>
                <w:lang w:eastAsia="es-AR"/>
              </w:rPr>
              <w:t>Acceso directo</w:t>
            </w:r>
            <w:r w:rsidRPr="00CE17F9">
              <w:rPr>
                <w:rFonts w:ascii="Calibri" w:eastAsia="Times New Roman" w:hAnsi="Calibri" w:cs="Calibri"/>
                <w:i/>
                <w:iCs/>
                <w:color w:val="585858"/>
                <w:sz w:val="24"/>
                <w:szCs w:val="24"/>
                <w:lang w:eastAsia="es-AR"/>
              </w:rPr>
              <w:t>:</w:t>
            </w:r>
          </w:p>
          <w:p w:rsidR="00CE17F9" w:rsidRPr="00CE17F9" w:rsidRDefault="00CE17F9" w:rsidP="00CE17F9">
            <w:pPr>
              <w:spacing w:before="60" w:after="120" w:line="253" w:lineRule="atLeast"/>
              <w:jc w:val="both"/>
              <w:rPr>
                <w:rFonts w:ascii="Calibri" w:eastAsia="Times New Roman" w:hAnsi="Calibri" w:cs="Calibri"/>
                <w:color w:val="585858"/>
                <w:lang w:eastAsia="es-AR"/>
              </w:rPr>
            </w:pPr>
            <w:hyperlink r:id="rId9" w:history="1">
              <w:r w:rsidRPr="00CE17F9">
                <w:rPr>
                  <w:rFonts w:ascii="Calibri" w:eastAsia="Times New Roman" w:hAnsi="Calibri" w:cs="Calibri"/>
                  <w:i/>
                  <w:iCs/>
                  <w:color w:val="0000EE"/>
                  <w:sz w:val="24"/>
                  <w:szCs w:val="24"/>
                  <w:lang w:eastAsia="es-AR"/>
                </w:rPr>
                <w:t>http://www.afip.gob.ar/Aplicativos/gananciasPersonasFisicas/gciasPerFisicasBienesPersonales.asp</w:t>
              </w:r>
            </w:hyperlink>
          </w:p>
          <w:p w:rsidR="00CE17F9" w:rsidRPr="00CE17F9" w:rsidRDefault="00CE17F9" w:rsidP="00CE17F9">
            <w:pPr>
              <w:spacing w:before="60" w:after="120" w:line="253" w:lineRule="atLeast"/>
              <w:jc w:val="both"/>
              <w:rPr>
                <w:rFonts w:ascii="Calibri" w:eastAsia="Times New Roman" w:hAnsi="Calibri" w:cs="Calibri"/>
                <w:color w:val="585858"/>
                <w:lang w:eastAsia="es-AR"/>
              </w:rPr>
            </w:pPr>
            <w:r w:rsidRPr="00CE17F9">
              <w:rPr>
                <w:rFonts w:ascii="Calibri" w:eastAsia="Times New Roman" w:hAnsi="Calibri" w:cs="Calibri"/>
                <w:i/>
                <w:iCs/>
                <w:color w:val="585858"/>
                <w:sz w:val="24"/>
                <w:szCs w:val="24"/>
                <w:lang w:eastAsia="es-AR"/>
              </w:rPr>
              <w:t>Fecha de publicación AFIP: 08/02/2018</w:t>
            </w:r>
          </w:p>
        </w:tc>
      </w:tr>
    </w:tbl>
    <w:p w:rsidR="00D27937" w:rsidRDefault="00CE17F9">
      <w:bookmarkStart w:id="0" w:name="_GoBack"/>
      <w:bookmarkEnd w:id="0"/>
    </w:p>
    <w:sectPr w:rsidR="00D279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F9"/>
    <w:rsid w:val="00797D1F"/>
    <w:rsid w:val="00CE17F9"/>
    <w:rsid w:val="00EC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E17F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E1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CE17F9"/>
    <w:rPr>
      <w:b/>
      <w:bCs/>
    </w:rPr>
  </w:style>
  <w:style w:type="character" w:styleId="nfasis">
    <w:name w:val="Emphasis"/>
    <w:basedOn w:val="Fuentedeprrafopredeter"/>
    <w:uiPriority w:val="20"/>
    <w:qFormat/>
    <w:rsid w:val="00CE17F9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1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1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E17F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E1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CE17F9"/>
    <w:rPr>
      <w:b/>
      <w:bCs/>
    </w:rPr>
  </w:style>
  <w:style w:type="character" w:styleId="nfasis">
    <w:name w:val="Emphasis"/>
    <w:basedOn w:val="Fuentedeprrafopredeter"/>
    <w:uiPriority w:val="20"/>
    <w:qFormat/>
    <w:rsid w:val="00CE17F9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1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1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ributum.com.ar/new_temas_det.cfm?id=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ributum.com.ar/new_temas_det.cfm?id=2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fip.gob.ar/Aplicativos/gananciasPersonasFisicas/gciasPerFisicasBienesPersonales.as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 I</dc:creator>
  <cp:lastModifiedBy>CIB I</cp:lastModifiedBy>
  <cp:revision>1</cp:revision>
  <dcterms:created xsi:type="dcterms:W3CDTF">2018-02-16T14:04:00Z</dcterms:created>
  <dcterms:modified xsi:type="dcterms:W3CDTF">2018-02-16T14:05:00Z</dcterms:modified>
</cp:coreProperties>
</file>